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D4" w:rsidRDefault="001179D4"/>
    <w:tbl>
      <w:tblPr>
        <w:tblW w:w="99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947"/>
        <w:gridCol w:w="3826"/>
        <w:gridCol w:w="3202"/>
      </w:tblGrid>
      <w:tr w:rsidR="001179D4" w:rsidTr="00E54742">
        <w:trPr>
          <w:jc w:val="center"/>
        </w:trPr>
        <w:tc>
          <w:tcPr>
            <w:tcW w:w="9975" w:type="dxa"/>
            <w:gridSpan w:val="3"/>
            <w:tcBorders>
              <w:top w:val="single" w:sz="4" w:space="0" w:color="FFFFFF"/>
              <w:left w:val="single" w:sz="4" w:space="0" w:color="FFFFFF"/>
              <w:bottom w:val="single" w:sz="4" w:space="0" w:color="FFFFFF"/>
              <w:right w:val="single" w:sz="4" w:space="0" w:color="FFFFFF"/>
            </w:tcBorders>
            <w:hideMark/>
          </w:tcPr>
          <w:p w:rsidR="0023588F" w:rsidRDefault="00A8778A">
            <w:pPr>
              <w:pStyle w:val="Heading2"/>
              <w:spacing w:after="40" w:line="276" w:lineRule="auto"/>
              <w:jc w:val="left"/>
              <w:rPr>
                <w:bCs w:val="0"/>
                <w:sz w:val="28"/>
                <w:szCs w:val="28"/>
              </w:rPr>
            </w:pPr>
            <w:r>
              <w:rPr>
                <w:noProof/>
                <w:lang w:eastAsia="en-GB"/>
              </w:rPr>
              <w:drawing>
                <wp:anchor distT="0" distB="0" distL="114300" distR="114300" simplePos="0" relativeHeight="251657728" behindDoc="0" locked="0" layoutInCell="1" allowOverlap="1">
                  <wp:simplePos x="0" y="0"/>
                  <wp:positionH relativeFrom="column">
                    <wp:posOffset>-461645</wp:posOffset>
                  </wp:positionH>
                  <wp:positionV relativeFrom="paragraph">
                    <wp:posOffset>-303530</wp:posOffset>
                  </wp:positionV>
                  <wp:extent cx="3268980" cy="1012190"/>
                  <wp:effectExtent l="0" t="0" r="7620" b="0"/>
                  <wp:wrapNone/>
                  <wp:docPr id="6" name="Picture 19" descr="J:\HSAB Templates, Logos and Details\_2015 safeguarding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SAB Templates, Logos and Details\_2015 safeguarding_logo_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8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BA5" w:rsidRDefault="00F60BA5">
            <w:pPr>
              <w:pStyle w:val="Heading2"/>
              <w:spacing w:after="40" w:line="276" w:lineRule="auto"/>
              <w:jc w:val="left"/>
              <w:rPr>
                <w:bCs w:val="0"/>
                <w:sz w:val="28"/>
                <w:szCs w:val="28"/>
              </w:rPr>
            </w:pPr>
          </w:p>
          <w:p w:rsidR="007252E1" w:rsidRDefault="007252E1">
            <w:pPr>
              <w:pStyle w:val="Heading2"/>
              <w:spacing w:after="40" w:line="276" w:lineRule="auto"/>
              <w:jc w:val="left"/>
              <w:rPr>
                <w:bCs w:val="0"/>
                <w:sz w:val="28"/>
                <w:szCs w:val="28"/>
              </w:rPr>
            </w:pPr>
          </w:p>
          <w:p w:rsidR="001179D4" w:rsidRDefault="001179D4">
            <w:pPr>
              <w:pStyle w:val="Heading2"/>
              <w:spacing w:after="40" w:line="276" w:lineRule="auto"/>
              <w:jc w:val="left"/>
            </w:pPr>
            <w:r>
              <w:rPr>
                <w:bCs w:val="0"/>
                <w:sz w:val="28"/>
                <w:szCs w:val="28"/>
              </w:rPr>
              <w:t>HSAB Policy and Proced</w:t>
            </w:r>
            <w:r w:rsidR="00727111">
              <w:rPr>
                <w:bCs w:val="0"/>
                <w:sz w:val="28"/>
                <w:szCs w:val="28"/>
              </w:rPr>
              <w:t>ures Protocol</w:t>
            </w:r>
          </w:p>
        </w:tc>
      </w:tr>
      <w:tr w:rsidR="001179D4" w:rsidTr="0045539D">
        <w:trPr>
          <w:cantSplit/>
          <w:trHeight w:val="163"/>
          <w:jc w:val="center"/>
        </w:trPr>
        <w:tc>
          <w:tcPr>
            <w:tcW w:w="2947" w:type="dxa"/>
            <w:tcBorders>
              <w:top w:val="single" w:sz="4" w:space="0" w:color="FFFFFF"/>
              <w:left w:val="single" w:sz="4" w:space="0" w:color="FFFFFF"/>
              <w:bottom w:val="single" w:sz="4" w:space="0" w:color="FFFFFF"/>
              <w:right w:val="single" w:sz="4" w:space="0" w:color="FFFFFF"/>
            </w:tcBorders>
            <w:hideMark/>
          </w:tcPr>
          <w:p w:rsidR="001179D4" w:rsidRDefault="001179D4">
            <w:pPr>
              <w:pStyle w:val="Heading2"/>
              <w:spacing w:before="80" w:after="40" w:line="276" w:lineRule="auto"/>
              <w:jc w:val="left"/>
              <w:rPr>
                <w:b w:val="0"/>
              </w:rPr>
            </w:pPr>
            <w:r>
              <w:t>Approved by:</w:t>
            </w:r>
            <w:r>
              <w:rPr>
                <w:b w:val="0"/>
              </w:rPr>
              <w:t xml:space="preserve">  </w:t>
            </w:r>
          </w:p>
        </w:tc>
        <w:tc>
          <w:tcPr>
            <w:tcW w:w="3826" w:type="dxa"/>
            <w:tcBorders>
              <w:top w:val="single" w:sz="4" w:space="0" w:color="FFFFFF"/>
              <w:left w:val="single" w:sz="4" w:space="0" w:color="FFFFFF"/>
              <w:bottom w:val="single" w:sz="4" w:space="0" w:color="FFFFFF"/>
              <w:right w:val="single" w:sz="4" w:space="0" w:color="FFFFFF"/>
            </w:tcBorders>
            <w:hideMark/>
          </w:tcPr>
          <w:p w:rsidR="001179D4" w:rsidRDefault="001179D4" w:rsidP="00BC2634">
            <w:pPr>
              <w:pStyle w:val="Heading2"/>
              <w:spacing w:before="80" w:after="40" w:line="276" w:lineRule="auto"/>
              <w:jc w:val="left"/>
            </w:pPr>
            <w:r>
              <w:rPr>
                <w:b w:val="0"/>
              </w:rPr>
              <w:t xml:space="preserve">HSAB </w:t>
            </w:r>
            <w:r w:rsidR="00BC2634">
              <w:rPr>
                <w:b w:val="0"/>
              </w:rPr>
              <w:t>Strategic Board</w:t>
            </w:r>
          </w:p>
        </w:tc>
        <w:tc>
          <w:tcPr>
            <w:tcW w:w="3202" w:type="dxa"/>
            <w:vMerge w:val="restart"/>
            <w:tcBorders>
              <w:top w:val="single" w:sz="4" w:space="0" w:color="FFFFFF"/>
              <w:left w:val="single" w:sz="4" w:space="0" w:color="FFFFFF"/>
              <w:bottom w:val="single" w:sz="4" w:space="0" w:color="FFFFFF"/>
              <w:right w:val="single" w:sz="4" w:space="0" w:color="FFFFFF"/>
            </w:tcBorders>
          </w:tcPr>
          <w:p w:rsidR="001179D4" w:rsidRDefault="001179D4">
            <w:pPr>
              <w:pStyle w:val="Heading2"/>
              <w:spacing w:before="80" w:after="40" w:line="276" w:lineRule="auto"/>
              <w:jc w:val="left"/>
            </w:pPr>
          </w:p>
        </w:tc>
      </w:tr>
      <w:tr w:rsidR="001179D4" w:rsidTr="0045539D">
        <w:trPr>
          <w:cantSplit/>
          <w:trHeight w:val="77"/>
          <w:jc w:val="center"/>
        </w:trPr>
        <w:tc>
          <w:tcPr>
            <w:tcW w:w="2947" w:type="dxa"/>
            <w:tcBorders>
              <w:top w:val="single" w:sz="4" w:space="0" w:color="FFFFFF"/>
              <w:left w:val="single" w:sz="4" w:space="0" w:color="FFFFFF"/>
              <w:bottom w:val="single" w:sz="4" w:space="0" w:color="FFFFFF"/>
              <w:right w:val="single" w:sz="4" w:space="0" w:color="FFFFFF"/>
            </w:tcBorders>
            <w:hideMark/>
          </w:tcPr>
          <w:p w:rsidR="001179D4" w:rsidRDefault="001179D4">
            <w:pPr>
              <w:pStyle w:val="Heading2"/>
              <w:spacing w:before="80" w:after="40" w:line="276" w:lineRule="auto"/>
              <w:jc w:val="left"/>
              <w:rPr>
                <w:b w:val="0"/>
              </w:rPr>
            </w:pPr>
            <w:r>
              <w:t>Date:</w:t>
            </w:r>
            <w:r>
              <w:rPr>
                <w:b w:val="0"/>
              </w:rPr>
              <w:t xml:space="preserve"> </w:t>
            </w:r>
          </w:p>
        </w:tc>
        <w:tc>
          <w:tcPr>
            <w:tcW w:w="3826" w:type="dxa"/>
            <w:tcBorders>
              <w:top w:val="single" w:sz="4" w:space="0" w:color="FFFFFF"/>
              <w:left w:val="single" w:sz="4" w:space="0" w:color="FFFFFF"/>
              <w:bottom w:val="single" w:sz="4" w:space="0" w:color="FFFFFF"/>
              <w:right w:val="single" w:sz="4" w:space="0" w:color="FFFFFF"/>
            </w:tcBorders>
            <w:hideMark/>
          </w:tcPr>
          <w:p w:rsidR="001179D4" w:rsidRDefault="00727111" w:rsidP="00CE31E2">
            <w:pPr>
              <w:pStyle w:val="Heading2"/>
              <w:spacing w:before="80" w:after="40" w:line="276" w:lineRule="auto"/>
              <w:jc w:val="left"/>
            </w:pPr>
            <w:r>
              <w:rPr>
                <w:b w:val="0"/>
              </w:rPr>
              <w:t>September 2021</w:t>
            </w:r>
          </w:p>
        </w:tc>
        <w:tc>
          <w:tcPr>
            <w:tcW w:w="3202" w:type="dxa"/>
            <w:vMerge/>
            <w:tcBorders>
              <w:top w:val="single" w:sz="4" w:space="0" w:color="FFFFFF"/>
              <w:left w:val="single" w:sz="4" w:space="0" w:color="FFFFFF"/>
              <w:bottom w:val="single" w:sz="4" w:space="0" w:color="FFFFFF"/>
              <w:right w:val="single" w:sz="4" w:space="0" w:color="FFFFFF"/>
            </w:tcBorders>
            <w:vAlign w:val="center"/>
            <w:hideMark/>
          </w:tcPr>
          <w:p w:rsidR="001179D4" w:rsidRDefault="001179D4">
            <w:pPr>
              <w:rPr>
                <w:rFonts w:ascii="Arial" w:hAnsi="Arial" w:cs="Arial"/>
                <w:b/>
                <w:bCs/>
                <w:lang w:eastAsia="en-US"/>
              </w:rPr>
            </w:pPr>
          </w:p>
        </w:tc>
      </w:tr>
      <w:tr w:rsidR="001179D4" w:rsidTr="0045539D">
        <w:trPr>
          <w:cantSplit/>
          <w:trHeight w:val="77"/>
          <w:jc w:val="center"/>
        </w:trPr>
        <w:tc>
          <w:tcPr>
            <w:tcW w:w="2947" w:type="dxa"/>
            <w:tcBorders>
              <w:top w:val="single" w:sz="4" w:space="0" w:color="FFFFFF"/>
              <w:left w:val="single" w:sz="4" w:space="0" w:color="FFFFFF"/>
              <w:bottom w:val="single" w:sz="4" w:space="0" w:color="FFFFFF"/>
              <w:right w:val="single" w:sz="4" w:space="0" w:color="FFFFFF"/>
            </w:tcBorders>
            <w:hideMark/>
          </w:tcPr>
          <w:p w:rsidR="001179D4" w:rsidRDefault="001179D4">
            <w:pPr>
              <w:pStyle w:val="Heading2"/>
              <w:spacing w:before="80" w:after="40" w:line="276" w:lineRule="auto"/>
              <w:jc w:val="left"/>
              <w:rPr>
                <w:b w:val="0"/>
              </w:rPr>
            </w:pPr>
            <w:r>
              <w:t>Date of Review:</w:t>
            </w:r>
            <w:r>
              <w:rPr>
                <w:b w:val="0"/>
              </w:rPr>
              <w:t xml:space="preserve">  </w:t>
            </w:r>
          </w:p>
        </w:tc>
        <w:tc>
          <w:tcPr>
            <w:tcW w:w="3826" w:type="dxa"/>
            <w:tcBorders>
              <w:top w:val="single" w:sz="4" w:space="0" w:color="FFFFFF"/>
              <w:left w:val="single" w:sz="4" w:space="0" w:color="FFFFFF"/>
              <w:bottom w:val="single" w:sz="4" w:space="0" w:color="FFFFFF"/>
              <w:right w:val="single" w:sz="4" w:space="0" w:color="FFFFFF"/>
            </w:tcBorders>
            <w:hideMark/>
          </w:tcPr>
          <w:p w:rsidR="001179D4" w:rsidRPr="007C46D5" w:rsidRDefault="00B019A1" w:rsidP="004F6F25">
            <w:pPr>
              <w:pStyle w:val="Heading2"/>
              <w:spacing w:before="80" w:after="40" w:line="276" w:lineRule="auto"/>
              <w:jc w:val="left"/>
              <w:rPr>
                <w:b w:val="0"/>
              </w:rPr>
            </w:pPr>
            <w:r>
              <w:rPr>
                <w:b w:val="0"/>
              </w:rPr>
              <w:t>March 2023</w:t>
            </w:r>
          </w:p>
        </w:tc>
        <w:tc>
          <w:tcPr>
            <w:tcW w:w="3202" w:type="dxa"/>
            <w:vMerge/>
            <w:tcBorders>
              <w:top w:val="single" w:sz="4" w:space="0" w:color="FFFFFF"/>
              <w:left w:val="single" w:sz="4" w:space="0" w:color="FFFFFF"/>
              <w:bottom w:val="single" w:sz="4" w:space="0" w:color="FFFFFF"/>
              <w:right w:val="single" w:sz="4" w:space="0" w:color="FFFFFF"/>
            </w:tcBorders>
            <w:vAlign w:val="center"/>
            <w:hideMark/>
          </w:tcPr>
          <w:p w:rsidR="001179D4" w:rsidRDefault="001179D4">
            <w:pPr>
              <w:rPr>
                <w:rFonts w:ascii="Arial" w:hAnsi="Arial" w:cs="Arial"/>
                <w:b/>
                <w:bCs/>
                <w:lang w:eastAsia="en-US"/>
              </w:rPr>
            </w:pPr>
          </w:p>
        </w:tc>
      </w:tr>
      <w:tr w:rsidR="001179D4" w:rsidTr="0045539D">
        <w:trPr>
          <w:cantSplit/>
          <w:trHeight w:val="77"/>
          <w:jc w:val="center"/>
        </w:trPr>
        <w:tc>
          <w:tcPr>
            <w:tcW w:w="2947" w:type="dxa"/>
            <w:tcBorders>
              <w:top w:val="single" w:sz="4" w:space="0" w:color="FFFFFF"/>
              <w:left w:val="single" w:sz="4" w:space="0" w:color="FFFFFF"/>
              <w:bottom w:val="single" w:sz="4" w:space="0" w:color="FFFFFF"/>
              <w:right w:val="single" w:sz="4" w:space="0" w:color="FFFFFF"/>
            </w:tcBorders>
          </w:tcPr>
          <w:p w:rsidR="001179D4" w:rsidRDefault="001179D4">
            <w:pPr>
              <w:pStyle w:val="Heading2"/>
              <w:tabs>
                <w:tab w:val="left" w:pos="844"/>
                <w:tab w:val="left" w:pos="2559"/>
              </w:tabs>
              <w:spacing w:before="80" w:after="40" w:line="276" w:lineRule="auto"/>
              <w:jc w:val="left"/>
            </w:pPr>
          </w:p>
        </w:tc>
        <w:tc>
          <w:tcPr>
            <w:tcW w:w="3826" w:type="dxa"/>
            <w:tcBorders>
              <w:top w:val="single" w:sz="4" w:space="0" w:color="FFFFFF"/>
              <w:left w:val="single" w:sz="4" w:space="0" w:color="FFFFFF"/>
              <w:bottom w:val="single" w:sz="4" w:space="0" w:color="FFFFFF"/>
              <w:right w:val="single" w:sz="4" w:space="0" w:color="FFFFFF"/>
            </w:tcBorders>
          </w:tcPr>
          <w:p w:rsidR="001179D4" w:rsidRDefault="001179D4">
            <w:pPr>
              <w:pStyle w:val="Heading2"/>
              <w:spacing w:before="80" w:after="40" w:line="276" w:lineRule="auto"/>
              <w:jc w:val="left"/>
              <w:rPr>
                <w:b w:val="0"/>
              </w:rPr>
            </w:pPr>
          </w:p>
        </w:tc>
        <w:tc>
          <w:tcPr>
            <w:tcW w:w="3202" w:type="dxa"/>
            <w:vMerge/>
            <w:tcBorders>
              <w:top w:val="single" w:sz="4" w:space="0" w:color="FFFFFF"/>
              <w:left w:val="single" w:sz="4" w:space="0" w:color="FFFFFF"/>
              <w:bottom w:val="single" w:sz="4" w:space="0" w:color="FFFFFF"/>
              <w:right w:val="single" w:sz="4" w:space="0" w:color="FFFFFF"/>
            </w:tcBorders>
            <w:vAlign w:val="center"/>
          </w:tcPr>
          <w:p w:rsidR="001179D4" w:rsidRDefault="001179D4">
            <w:pPr>
              <w:rPr>
                <w:rFonts w:ascii="Arial" w:hAnsi="Arial" w:cs="Arial"/>
                <w:b/>
                <w:bCs/>
                <w:lang w:eastAsia="en-US"/>
              </w:rPr>
            </w:pPr>
          </w:p>
        </w:tc>
      </w:tr>
    </w:tbl>
    <w:p w:rsidR="001179D4" w:rsidRDefault="001179D4" w:rsidP="00313D3C">
      <w:pPr>
        <w:pStyle w:val="Heading2"/>
        <w:numPr>
          <w:ilvl w:val="0"/>
          <w:numId w:val="1"/>
        </w:numPr>
        <w:spacing w:before="80" w:after="40" w:line="276" w:lineRule="auto"/>
        <w:ind w:left="426" w:hanging="426"/>
        <w:jc w:val="left"/>
        <w:rPr>
          <w:bCs w:val="0"/>
        </w:rPr>
      </w:pPr>
      <w:r>
        <w:rPr>
          <w:bCs w:val="0"/>
        </w:rPr>
        <w:t>Overall Purpose</w:t>
      </w:r>
    </w:p>
    <w:p w:rsidR="00BE5347" w:rsidRDefault="00727111" w:rsidP="00727111">
      <w:pPr>
        <w:shd w:val="clear" w:color="auto" w:fill="FFFFFF"/>
        <w:rPr>
          <w:rFonts w:ascii="Arial" w:hAnsi="Arial" w:cs="Arial"/>
        </w:rPr>
      </w:pPr>
      <w:r w:rsidRPr="00727111">
        <w:rPr>
          <w:rFonts w:ascii="Arial" w:hAnsi="Arial" w:cs="Arial"/>
        </w:rPr>
        <w:t xml:space="preserve">All the key partners of Herefordshire Safeguarding Adults Board (HSAB) have agreed that the regional policy for safeguarding adults should govern all safeguarding work with adults at risk in Herefordshire. The policy, therefore, applies to all professionals and agencies working with adults at risk in the county.  </w:t>
      </w:r>
    </w:p>
    <w:p w:rsidR="00BE5347" w:rsidRDefault="00BE5347" w:rsidP="00727111">
      <w:pPr>
        <w:shd w:val="clear" w:color="auto" w:fill="FFFFFF"/>
        <w:rPr>
          <w:rFonts w:ascii="Arial" w:hAnsi="Arial" w:cs="Arial"/>
        </w:rPr>
      </w:pPr>
    </w:p>
    <w:p w:rsidR="00BE5347" w:rsidRDefault="00727111" w:rsidP="00BE5347">
      <w:pPr>
        <w:shd w:val="clear" w:color="auto" w:fill="FFFFFF"/>
        <w:rPr>
          <w:rFonts w:ascii="Arial" w:hAnsi="Arial" w:cs="Arial"/>
        </w:rPr>
      </w:pPr>
      <w:r w:rsidRPr="00727111">
        <w:rPr>
          <w:rFonts w:ascii="Arial" w:hAnsi="Arial" w:cs="Arial"/>
        </w:rPr>
        <w:t>Responsibility for the update of this policy sits with the Regional Editorial Group.</w:t>
      </w:r>
    </w:p>
    <w:p w:rsidR="00BE5347" w:rsidRDefault="00BE5347" w:rsidP="00BE5347">
      <w:pPr>
        <w:shd w:val="clear" w:color="auto" w:fill="FFFFFF"/>
        <w:rPr>
          <w:rFonts w:ascii="Arial" w:hAnsi="Arial" w:cs="Arial"/>
        </w:rPr>
      </w:pPr>
    </w:p>
    <w:p w:rsidR="00BE5347" w:rsidRDefault="00727111" w:rsidP="00BE5347">
      <w:pPr>
        <w:shd w:val="clear" w:color="auto" w:fill="FFFFFF"/>
        <w:rPr>
          <w:rFonts w:ascii="Arial" w:hAnsi="Arial" w:cs="Arial"/>
        </w:rPr>
      </w:pPr>
      <w:r w:rsidRPr="00BE5347">
        <w:rPr>
          <w:rFonts w:ascii="Arial" w:hAnsi="Arial" w:cs="Arial"/>
        </w:rPr>
        <w:t xml:space="preserve">The regional policy is supported by a suite of Herefordshire specific policies.  These policies will be developed as required by a group of professionals nominated for the purpose by members of HSAB Strategic Board.  </w:t>
      </w:r>
      <w:r w:rsidR="00BE5347" w:rsidRPr="00BE5347">
        <w:rPr>
          <w:rFonts w:ascii="Arial" w:hAnsi="Arial" w:cs="Arial"/>
        </w:rPr>
        <w:t>Development of policies can be driven by any of</w:t>
      </w:r>
      <w:r w:rsidR="00BE5347">
        <w:rPr>
          <w:rFonts w:ascii="Arial" w:hAnsi="Arial" w:cs="Arial"/>
        </w:rPr>
        <w:t xml:space="preserve"> the following</w:t>
      </w:r>
      <w:r w:rsidR="00BE5347" w:rsidRPr="00BE5347">
        <w:rPr>
          <w:rFonts w:ascii="Arial" w:hAnsi="Arial" w:cs="Arial"/>
        </w:rPr>
        <w:t xml:space="preserve">: </w:t>
      </w:r>
    </w:p>
    <w:p w:rsidR="00BE5347" w:rsidRPr="00BE5347" w:rsidRDefault="00BE5347" w:rsidP="00313D3C">
      <w:pPr>
        <w:pStyle w:val="ListParagraph"/>
        <w:numPr>
          <w:ilvl w:val="0"/>
          <w:numId w:val="2"/>
        </w:numPr>
        <w:shd w:val="clear" w:color="auto" w:fill="FFFFFF"/>
        <w:rPr>
          <w:rFonts w:ascii="Arial" w:hAnsi="Arial" w:cs="Arial"/>
        </w:rPr>
      </w:pPr>
      <w:r w:rsidRPr="00BE5347">
        <w:rPr>
          <w:rFonts w:ascii="Arial" w:hAnsi="Arial" w:cs="Arial"/>
        </w:rPr>
        <w:t xml:space="preserve">changes to national frameworks, </w:t>
      </w:r>
    </w:p>
    <w:p w:rsidR="00BE5347" w:rsidRPr="00BE5347" w:rsidRDefault="00BE5347" w:rsidP="00313D3C">
      <w:pPr>
        <w:pStyle w:val="ListParagraph"/>
        <w:numPr>
          <w:ilvl w:val="0"/>
          <w:numId w:val="2"/>
        </w:numPr>
        <w:shd w:val="clear" w:color="auto" w:fill="FFFFFF"/>
        <w:rPr>
          <w:rFonts w:ascii="Arial" w:hAnsi="Arial" w:cs="Arial"/>
        </w:rPr>
      </w:pPr>
      <w:r w:rsidRPr="00BE5347">
        <w:rPr>
          <w:rFonts w:ascii="Arial" w:hAnsi="Arial" w:cs="Arial"/>
        </w:rPr>
        <w:t xml:space="preserve">emerging national or local issues, </w:t>
      </w:r>
    </w:p>
    <w:p w:rsidR="00BE5347" w:rsidRPr="00BE5347" w:rsidRDefault="00BE5347" w:rsidP="00313D3C">
      <w:pPr>
        <w:pStyle w:val="ListParagraph"/>
        <w:numPr>
          <w:ilvl w:val="0"/>
          <w:numId w:val="2"/>
        </w:numPr>
        <w:shd w:val="clear" w:color="auto" w:fill="FFFFFF"/>
        <w:rPr>
          <w:rFonts w:ascii="Arial" w:hAnsi="Arial" w:cs="Arial"/>
        </w:rPr>
      </w:pPr>
      <w:r w:rsidRPr="00BE5347">
        <w:rPr>
          <w:rFonts w:ascii="Arial" w:hAnsi="Arial" w:cs="Arial"/>
        </w:rPr>
        <w:t xml:space="preserve">in response to local or national consultations  </w:t>
      </w:r>
    </w:p>
    <w:p w:rsidR="00BE5347" w:rsidRDefault="00BE5347" w:rsidP="00313D3C">
      <w:pPr>
        <w:pStyle w:val="ListParagraph"/>
        <w:numPr>
          <w:ilvl w:val="0"/>
          <w:numId w:val="2"/>
        </w:numPr>
        <w:shd w:val="clear" w:color="auto" w:fill="FFFFFF"/>
        <w:rPr>
          <w:rFonts w:ascii="Arial" w:hAnsi="Arial" w:cs="Arial"/>
        </w:rPr>
      </w:pPr>
      <w:r w:rsidRPr="00BE5347">
        <w:rPr>
          <w:rFonts w:ascii="Arial" w:hAnsi="Arial" w:cs="Arial"/>
        </w:rPr>
        <w:t>findings from case reviews or audits</w:t>
      </w:r>
      <w:r>
        <w:rPr>
          <w:rFonts w:ascii="Arial" w:hAnsi="Arial" w:cs="Arial"/>
        </w:rPr>
        <w:t xml:space="preserve"> or</w:t>
      </w:r>
    </w:p>
    <w:p w:rsidR="00BE5347" w:rsidRDefault="00BE5347" w:rsidP="00313D3C">
      <w:pPr>
        <w:pStyle w:val="ListParagraph"/>
        <w:numPr>
          <w:ilvl w:val="0"/>
          <w:numId w:val="2"/>
        </w:numPr>
        <w:shd w:val="clear" w:color="auto" w:fill="FFFFFF"/>
        <w:rPr>
          <w:rFonts w:ascii="Arial" w:hAnsi="Arial" w:cs="Arial"/>
        </w:rPr>
      </w:pPr>
      <w:r>
        <w:rPr>
          <w:rFonts w:ascii="Arial" w:hAnsi="Arial" w:cs="Arial"/>
        </w:rPr>
        <w:t>other issues</w:t>
      </w:r>
      <w:r w:rsidRPr="00BE5347">
        <w:rPr>
          <w:rFonts w:ascii="Arial" w:hAnsi="Arial" w:cs="Arial"/>
        </w:rPr>
        <w:t xml:space="preserve">. </w:t>
      </w:r>
    </w:p>
    <w:p w:rsidR="00BE5347" w:rsidRDefault="00BE5347" w:rsidP="00BE5347">
      <w:pPr>
        <w:shd w:val="clear" w:color="auto" w:fill="FFFFFF"/>
        <w:rPr>
          <w:rFonts w:ascii="Arial" w:hAnsi="Arial" w:cs="Arial"/>
        </w:rPr>
      </w:pPr>
    </w:p>
    <w:p w:rsidR="00BE5347" w:rsidRDefault="00BE5347" w:rsidP="00BE5347">
      <w:pPr>
        <w:shd w:val="clear" w:color="auto" w:fill="FFFFFF"/>
        <w:rPr>
          <w:rFonts w:ascii="Arial" w:hAnsi="Arial" w:cs="Arial"/>
        </w:rPr>
      </w:pPr>
      <w:r w:rsidRPr="00BE5347">
        <w:rPr>
          <w:rFonts w:ascii="Arial" w:hAnsi="Arial" w:cs="Arial"/>
        </w:rPr>
        <w:t>Development of these policies may require a task and finish group to complete the task.</w:t>
      </w:r>
    </w:p>
    <w:p w:rsidR="00313D3C" w:rsidRDefault="00313D3C" w:rsidP="00BE5347">
      <w:pPr>
        <w:shd w:val="clear" w:color="auto" w:fill="FFFFFF"/>
        <w:rPr>
          <w:rFonts w:ascii="Arial" w:hAnsi="Arial" w:cs="Arial"/>
        </w:rPr>
      </w:pPr>
    </w:p>
    <w:p w:rsidR="00313D3C" w:rsidRPr="00BE5347" w:rsidRDefault="00313D3C" w:rsidP="00BE5347">
      <w:pPr>
        <w:shd w:val="clear" w:color="auto" w:fill="FFFFFF"/>
        <w:rPr>
          <w:rFonts w:ascii="Arial" w:hAnsi="Arial" w:cs="Arial"/>
        </w:rPr>
      </w:pPr>
      <w:r>
        <w:rPr>
          <w:rFonts w:ascii="Arial" w:hAnsi="Arial" w:cs="Arial"/>
        </w:rPr>
        <w:t>Where possible this will be done in conjunction with Worcestershire Safeguarding Adults Board.</w:t>
      </w:r>
    </w:p>
    <w:p w:rsidR="00BE5347" w:rsidRDefault="00BE5347" w:rsidP="00727111">
      <w:pPr>
        <w:shd w:val="clear" w:color="auto" w:fill="FFFFFF"/>
        <w:rPr>
          <w:rFonts w:ascii="Arial" w:hAnsi="Arial" w:cs="Arial"/>
        </w:rPr>
      </w:pPr>
      <w:r>
        <w:rPr>
          <w:rFonts w:ascii="Arial" w:hAnsi="Arial" w:cs="Arial"/>
        </w:rPr>
        <w:t xml:space="preserve"> </w:t>
      </w:r>
    </w:p>
    <w:p w:rsidR="00727111" w:rsidRDefault="00727111" w:rsidP="00727111">
      <w:pPr>
        <w:shd w:val="clear" w:color="auto" w:fill="FFFFFF"/>
        <w:rPr>
          <w:rFonts w:ascii="Arial" w:hAnsi="Arial" w:cs="Arial"/>
        </w:rPr>
      </w:pPr>
      <w:r>
        <w:rPr>
          <w:rFonts w:ascii="Arial" w:hAnsi="Arial" w:cs="Arial"/>
        </w:rPr>
        <w:t>Responsibility for the review of these policies will sit with members of HSAB, who will nominate the most suitable professional within their agency to perform this duty.</w:t>
      </w:r>
      <w:r w:rsidR="00BE5347">
        <w:rPr>
          <w:rFonts w:ascii="Arial" w:hAnsi="Arial" w:cs="Arial"/>
        </w:rPr>
        <w:t xml:space="preserve">  All reviews will be carried out remotely.</w:t>
      </w:r>
    </w:p>
    <w:p w:rsidR="00727111" w:rsidRDefault="00727111" w:rsidP="00727111">
      <w:pPr>
        <w:shd w:val="clear" w:color="auto" w:fill="FFFFFF"/>
        <w:rPr>
          <w:rFonts w:ascii="Arial" w:hAnsi="Arial" w:cs="Arial"/>
        </w:rPr>
      </w:pPr>
    </w:p>
    <w:p w:rsidR="00812C4E" w:rsidRPr="00BE5347" w:rsidRDefault="00727111" w:rsidP="00BE5347">
      <w:pPr>
        <w:shd w:val="clear" w:color="auto" w:fill="FFFFFF"/>
        <w:rPr>
          <w:rFonts w:ascii="Arial" w:hAnsi="Arial" w:cs="Arial"/>
        </w:rPr>
      </w:pPr>
      <w:r>
        <w:rPr>
          <w:rFonts w:ascii="Arial" w:hAnsi="Arial" w:cs="Arial"/>
        </w:rPr>
        <w:t>The Partnership Team</w:t>
      </w:r>
      <w:r w:rsidR="00BE5347">
        <w:rPr>
          <w:rFonts w:ascii="Arial" w:hAnsi="Arial" w:cs="Arial"/>
        </w:rPr>
        <w:t>,</w:t>
      </w:r>
      <w:r>
        <w:rPr>
          <w:rFonts w:ascii="Arial" w:hAnsi="Arial" w:cs="Arial"/>
        </w:rPr>
        <w:t xml:space="preserve"> to enable this process</w:t>
      </w:r>
      <w:r w:rsidR="00BE5347">
        <w:rPr>
          <w:rFonts w:ascii="Arial" w:hAnsi="Arial" w:cs="Arial"/>
        </w:rPr>
        <w:t>,</w:t>
      </w:r>
      <w:r>
        <w:rPr>
          <w:rFonts w:ascii="Arial" w:hAnsi="Arial" w:cs="Arial"/>
        </w:rPr>
        <w:t xml:space="preserve"> will provide a database of all policies and their review dates to the </w:t>
      </w:r>
      <w:r w:rsidR="00252DFC">
        <w:rPr>
          <w:rFonts w:ascii="Arial" w:hAnsi="Arial" w:cs="Arial"/>
        </w:rPr>
        <w:t>Board annually</w:t>
      </w:r>
      <w:r w:rsidR="00BE5347">
        <w:rPr>
          <w:rFonts w:ascii="Arial" w:hAnsi="Arial" w:cs="Arial"/>
        </w:rPr>
        <w:t>.</w:t>
      </w:r>
      <w:r w:rsidR="00252DFC">
        <w:rPr>
          <w:rFonts w:ascii="Arial" w:hAnsi="Arial" w:cs="Arial"/>
        </w:rPr>
        <w:t xml:space="preserve"> This will form the scheduled work plan for the forthcoming year.</w:t>
      </w:r>
      <w:bookmarkStart w:id="0" w:name="_GoBack"/>
      <w:bookmarkEnd w:id="0"/>
    </w:p>
    <w:p w:rsidR="007361A1" w:rsidRPr="008227A8" w:rsidRDefault="007361A1" w:rsidP="007361A1">
      <w:pPr>
        <w:spacing w:line="276" w:lineRule="auto"/>
        <w:rPr>
          <w:rFonts w:ascii="Arial" w:hAnsi="Arial"/>
        </w:rPr>
      </w:pPr>
    </w:p>
    <w:p w:rsidR="001179D4" w:rsidRDefault="00BE5347" w:rsidP="00313D3C">
      <w:pPr>
        <w:pStyle w:val="Heading2"/>
        <w:numPr>
          <w:ilvl w:val="0"/>
          <w:numId w:val="1"/>
        </w:numPr>
        <w:spacing w:before="80" w:after="40" w:line="276" w:lineRule="auto"/>
        <w:ind w:left="426" w:hanging="426"/>
        <w:jc w:val="left"/>
        <w:rPr>
          <w:bCs w:val="0"/>
        </w:rPr>
      </w:pPr>
      <w:r>
        <w:rPr>
          <w:bCs w:val="0"/>
        </w:rPr>
        <w:t>Consultees</w:t>
      </w:r>
      <w:r w:rsidR="001179D4">
        <w:rPr>
          <w:bCs w:val="0"/>
        </w:rPr>
        <w:t xml:space="preserve"> </w:t>
      </w:r>
    </w:p>
    <w:p w:rsidR="00313D3C" w:rsidRDefault="001179D4" w:rsidP="00313D3C">
      <w:pPr>
        <w:spacing w:before="80" w:after="40" w:line="276" w:lineRule="auto"/>
        <w:rPr>
          <w:rFonts w:ascii="Arial" w:hAnsi="Arial"/>
        </w:rPr>
      </w:pPr>
      <w:r>
        <w:rPr>
          <w:rFonts w:ascii="Arial" w:hAnsi="Arial"/>
        </w:rPr>
        <w:t xml:space="preserve">The following organisations/sectors </w:t>
      </w:r>
      <w:r w:rsidR="00BE5347">
        <w:rPr>
          <w:rFonts w:ascii="Arial" w:hAnsi="Arial"/>
        </w:rPr>
        <w:t xml:space="preserve">should </w:t>
      </w:r>
      <w:r>
        <w:rPr>
          <w:rFonts w:ascii="Arial" w:hAnsi="Arial"/>
        </w:rPr>
        <w:t>be represented</w:t>
      </w:r>
      <w:r w:rsidR="00BE5347">
        <w:rPr>
          <w:rFonts w:ascii="Arial" w:hAnsi="Arial"/>
        </w:rPr>
        <w:t xml:space="preserve"> </w:t>
      </w:r>
      <w:r>
        <w:rPr>
          <w:rFonts w:ascii="Arial" w:hAnsi="Arial"/>
        </w:rPr>
        <w:t xml:space="preserve">within the group:  </w:t>
      </w:r>
    </w:p>
    <w:p w:rsidR="00313D3C" w:rsidRPr="00313D3C" w:rsidRDefault="001179D4" w:rsidP="00313D3C">
      <w:pPr>
        <w:pStyle w:val="ListParagraph"/>
        <w:numPr>
          <w:ilvl w:val="0"/>
          <w:numId w:val="3"/>
        </w:numPr>
        <w:spacing w:before="80" w:after="40" w:line="276" w:lineRule="auto"/>
        <w:rPr>
          <w:rFonts w:ascii="Arial" w:hAnsi="Arial" w:cs="Arial"/>
          <w:lang w:eastAsia="en-US"/>
        </w:rPr>
      </w:pPr>
      <w:r w:rsidRPr="00313D3C">
        <w:rPr>
          <w:rFonts w:ascii="Arial" w:hAnsi="Arial" w:cs="Arial"/>
          <w:lang w:eastAsia="en-US"/>
        </w:rPr>
        <w:t>Healt</w:t>
      </w:r>
      <w:r w:rsidR="00313D3C" w:rsidRPr="00313D3C">
        <w:rPr>
          <w:rFonts w:ascii="Arial" w:hAnsi="Arial" w:cs="Arial"/>
          <w:lang w:eastAsia="en-US"/>
        </w:rPr>
        <w:t>h</w:t>
      </w:r>
    </w:p>
    <w:p w:rsidR="00313D3C" w:rsidRPr="00313D3C" w:rsidRDefault="001179D4" w:rsidP="00313D3C">
      <w:pPr>
        <w:pStyle w:val="ListParagraph"/>
        <w:numPr>
          <w:ilvl w:val="0"/>
          <w:numId w:val="3"/>
        </w:numPr>
        <w:spacing w:before="80" w:after="40" w:line="276" w:lineRule="auto"/>
        <w:rPr>
          <w:rFonts w:ascii="Arial" w:hAnsi="Arial" w:cs="Arial"/>
        </w:rPr>
      </w:pPr>
      <w:r w:rsidRPr="00313D3C">
        <w:rPr>
          <w:rFonts w:ascii="Arial" w:hAnsi="Arial" w:cs="Arial"/>
        </w:rPr>
        <w:t xml:space="preserve">Local Authority </w:t>
      </w:r>
    </w:p>
    <w:p w:rsidR="001179D4" w:rsidRPr="00313D3C" w:rsidRDefault="001179D4" w:rsidP="00313D3C">
      <w:pPr>
        <w:pStyle w:val="ListParagraph"/>
        <w:numPr>
          <w:ilvl w:val="0"/>
          <w:numId w:val="3"/>
        </w:numPr>
        <w:spacing w:before="80" w:after="40" w:line="276" w:lineRule="auto"/>
        <w:rPr>
          <w:rFonts w:ascii="Arial" w:hAnsi="Arial" w:cs="Arial"/>
        </w:rPr>
      </w:pPr>
      <w:r w:rsidRPr="00313D3C">
        <w:rPr>
          <w:rFonts w:ascii="Arial" w:hAnsi="Arial" w:cs="Arial"/>
          <w:bCs/>
          <w:lang w:eastAsia="en-US"/>
        </w:rPr>
        <w:t>West Mercia Police</w:t>
      </w:r>
    </w:p>
    <w:p w:rsidR="001179D4" w:rsidRPr="00313D3C" w:rsidRDefault="001179D4" w:rsidP="00313D3C">
      <w:pPr>
        <w:pStyle w:val="Heading2"/>
        <w:numPr>
          <w:ilvl w:val="0"/>
          <w:numId w:val="3"/>
        </w:numPr>
        <w:spacing w:line="276" w:lineRule="auto"/>
        <w:jc w:val="left"/>
        <w:rPr>
          <w:b w:val="0"/>
        </w:rPr>
      </w:pPr>
      <w:r w:rsidRPr="00313D3C">
        <w:rPr>
          <w:b w:val="0"/>
        </w:rPr>
        <w:lastRenderedPageBreak/>
        <w:t>Third Sector</w:t>
      </w:r>
    </w:p>
    <w:p w:rsidR="001179D4" w:rsidRPr="00313D3C" w:rsidRDefault="001179D4" w:rsidP="00313D3C">
      <w:pPr>
        <w:pStyle w:val="Heading2"/>
        <w:numPr>
          <w:ilvl w:val="0"/>
          <w:numId w:val="3"/>
        </w:numPr>
        <w:spacing w:line="276" w:lineRule="auto"/>
        <w:jc w:val="left"/>
        <w:rPr>
          <w:b w:val="0"/>
        </w:rPr>
      </w:pPr>
      <w:r w:rsidRPr="00313D3C">
        <w:rPr>
          <w:b w:val="0"/>
        </w:rPr>
        <w:t xml:space="preserve">Independent Sector </w:t>
      </w:r>
    </w:p>
    <w:p w:rsidR="00313D3C" w:rsidRPr="00313D3C" w:rsidRDefault="00313D3C" w:rsidP="00313D3C">
      <w:pPr>
        <w:pStyle w:val="ListParagraph"/>
        <w:numPr>
          <w:ilvl w:val="0"/>
          <w:numId w:val="3"/>
        </w:numPr>
        <w:rPr>
          <w:rFonts w:ascii="Arial" w:hAnsi="Arial" w:cs="Arial"/>
          <w:lang w:eastAsia="en-US"/>
        </w:rPr>
      </w:pPr>
      <w:r w:rsidRPr="00313D3C">
        <w:rPr>
          <w:rFonts w:ascii="Arial" w:hAnsi="Arial" w:cs="Arial"/>
          <w:lang w:eastAsia="en-US"/>
        </w:rPr>
        <w:t>Service commissioners</w:t>
      </w:r>
    </w:p>
    <w:p w:rsidR="001179D4" w:rsidRDefault="001179D4" w:rsidP="001179D4">
      <w:pPr>
        <w:pStyle w:val="Heading2"/>
        <w:spacing w:before="80" w:after="40" w:line="276" w:lineRule="auto"/>
        <w:jc w:val="left"/>
      </w:pPr>
    </w:p>
    <w:p w:rsidR="001179D4" w:rsidRDefault="00313D3C" w:rsidP="00313D3C">
      <w:pPr>
        <w:pStyle w:val="Heading2"/>
        <w:numPr>
          <w:ilvl w:val="0"/>
          <w:numId w:val="1"/>
        </w:numPr>
        <w:spacing w:before="80" w:after="40" w:line="276" w:lineRule="auto"/>
        <w:ind w:left="426" w:hanging="426"/>
        <w:jc w:val="left"/>
        <w:rPr>
          <w:bCs w:val="0"/>
        </w:rPr>
      </w:pPr>
      <w:r>
        <w:rPr>
          <w:bCs w:val="0"/>
        </w:rPr>
        <w:t>Dissemination</w:t>
      </w:r>
    </w:p>
    <w:p w:rsidR="00F02617" w:rsidRPr="00413839" w:rsidRDefault="001179D4" w:rsidP="00313D3C">
      <w:pPr>
        <w:spacing w:before="80" w:after="40" w:line="276" w:lineRule="auto"/>
        <w:rPr>
          <w:rFonts w:ascii="Arial" w:hAnsi="Arial" w:cs="Arial"/>
        </w:rPr>
      </w:pPr>
      <w:r>
        <w:rPr>
          <w:rFonts w:ascii="Arial" w:hAnsi="Arial"/>
        </w:rPr>
        <w:t>I</w:t>
      </w:r>
      <w:r w:rsidR="00313D3C">
        <w:rPr>
          <w:rFonts w:ascii="Arial" w:hAnsi="Arial"/>
        </w:rPr>
        <w:t>t</w:t>
      </w:r>
      <w:r>
        <w:rPr>
          <w:rFonts w:ascii="Arial" w:hAnsi="Arial"/>
        </w:rPr>
        <w:t xml:space="preserve"> </w:t>
      </w:r>
      <w:r w:rsidR="00313D3C">
        <w:rPr>
          <w:rFonts w:ascii="Arial" w:hAnsi="Arial"/>
        </w:rPr>
        <w:t>is the responsibility of the</w:t>
      </w:r>
      <w:r>
        <w:rPr>
          <w:rFonts w:ascii="Arial" w:hAnsi="Arial"/>
        </w:rPr>
        <w:t xml:space="preserve"> HSAB </w:t>
      </w:r>
      <w:r w:rsidR="00313D3C">
        <w:rPr>
          <w:rFonts w:ascii="Arial" w:hAnsi="Arial"/>
        </w:rPr>
        <w:t>Strategic Board member to disseminate a</w:t>
      </w:r>
      <w:r w:rsidR="00F02617" w:rsidRPr="00413839">
        <w:rPr>
          <w:rFonts w:ascii="Arial" w:hAnsi="Arial" w:cs="Arial"/>
          <w:color w:val="000000"/>
        </w:rPr>
        <w:t>ny messages arising from th</w:t>
      </w:r>
      <w:r w:rsidR="00313D3C">
        <w:rPr>
          <w:rFonts w:ascii="Arial" w:hAnsi="Arial" w:cs="Arial"/>
          <w:color w:val="000000"/>
        </w:rPr>
        <w:t>is work</w:t>
      </w:r>
      <w:r w:rsidR="00F02617" w:rsidRPr="00413839">
        <w:rPr>
          <w:rFonts w:ascii="Arial" w:hAnsi="Arial" w:cs="Arial"/>
          <w:color w:val="000000"/>
        </w:rPr>
        <w:t xml:space="preserve">, such as </w:t>
      </w:r>
      <w:r w:rsidR="00F02617">
        <w:rPr>
          <w:rFonts w:ascii="Arial" w:hAnsi="Arial" w:cs="Arial"/>
          <w:color w:val="000000"/>
        </w:rPr>
        <w:t xml:space="preserve">new policies and procedures, updating existing policies and procedures and </w:t>
      </w:r>
      <w:r w:rsidR="00F02617" w:rsidRPr="00413839">
        <w:rPr>
          <w:rFonts w:ascii="Arial" w:hAnsi="Arial" w:cs="Arial"/>
          <w:color w:val="000000"/>
        </w:rPr>
        <w:t>areas for common consideration</w:t>
      </w:r>
      <w:r w:rsidR="00313D3C">
        <w:rPr>
          <w:rFonts w:ascii="Arial" w:hAnsi="Arial" w:cs="Arial"/>
          <w:color w:val="000000"/>
        </w:rPr>
        <w:t>, to all relevant members of their organisation.</w:t>
      </w:r>
    </w:p>
    <w:p w:rsidR="008F2FAA" w:rsidRDefault="008F2FAA" w:rsidP="00F02617">
      <w:pPr>
        <w:tabs>
          <w:tab w:val="left" w:pos="709"/>
        </w:tabs>
        <w:jc w:val="both"/>
        <w:rPr>
          <w:rFonts w:ascii="Arial" w:hAnsi="Arial" w:cs="Arial"/>
        </w:rPr>
      </w:pPr>
    </w:p>
    <w:p w:rsidR="00F02617" w:rsidRPr="00413839" w:rsidRDefault="00F02617" w:rsidP="00313D3C">
      <w:pPr>
        <w:tabs>
          <w:tab w:val="left" w:pos="709"/>
        </w:tabs>
        <w:rPr>
          <w:rFonts w:ascii="Arial" w:hAnsi="Arial" w:cs="Arial"/>
        </w:rPr>
      </w:pPr>
      <w:r w:rsidRPr="00413839">
        <w:rPr>
          <w:rFonts w:ascii="Arial" w:hAnsi="Arial" w:cs="Arial"/>
        </w:rPr>
        <w:t xml:space="preserve">It will be the responsibility </w:t>
      </w:r>
      <w:r w:rsidR="00395960">
        <w:rPr>
          <w:rFonts w:ascii="Arial" w:hAnsi="Arial" w:cs="Arial"/>
        </w:rPr>
        <w:t xml:space="preserve">HSAB </w:t>
      </w:r>
      <w:r w:rsidR="00313D3C">
        <w:rPr>
          <w:rFonts w:ascii="Arial" w:hAnsi="Arial" w:cs="Arial"/>
        </w:rPr>
        <w:t xml:space="preserve">Partnership </w:t>
      </w:r>
      <w:r w:rsidRPr="00413839">
        <w:rPr>
          <w:rFonts w:ascii="Arial" w:hAnsi="Arial" w:cs="Arial"/>
        </w:rPr>
        <w:t>Officer to ensure that any message</w:t>
      </w:r>
      <w:r w:rsidR="00313D3C">
        <w:rPr>
          <w:rFonts w:ascii="Arial" w:hAnsi="Arial" w:cs="Arial"/>
        </w:rPr>
        <w:t xml:space="preserve">s are </w:t>
      </w:r>
      <w:r>
        <w:rPr>
          <w:rFonts w:ascii="Arial" w:hAnsi="Arial" w:cs="Arial"/>
        </w:rPr>
        <w:t>effective and assurance is sought from agencies that these have been cascaded through their internal means.</w:t>
      </w:r>
    </w:p>
    <w:p w:rsidR="001B3DBA" w:rsidRDefault="001B3DBA" w:rsidP="001B3DBA">
      <w:pPr>
        <w:rPr>
          <w:rFonts w:ascii="Calibri" w:hAnsi="Calibri"/>
          <w:sz w:val="22"/>
          <w:szCs w:val="22"/>
        </w:rPr>
      </w:pPr>
    </w:p>
    <w:p w:rsidR="009E059D" w:rsidRPr="001B3DBA" w:rsidRDefault="009E059D" w:rsidP="001B3DBA">
      <w:pPr>
        <w:pStyle w:val="Heading2"/>
        <w:spacing w:before="80" w:after="40" w:line="276" w:lineRule="auto"/>
        <w:ind w:left="426" w:hanging="426"/>
        <w:jc w:val="left"/>
        <w:rPr>
          <w:bCs w:val="0"/>
        </w:rPr>
      </w:pPr>
    </w:p>
    <w:sectPr w:rsidR="009E059D" w:rsidRPr="001B3DBA" w:rsidSect="00A435EF">
      <w:headerReference w:type="even" r:id="rId9"/>
      <w:footerReference w:type="even" r:id="rId10"/>
      <w:headerReference w:type="first" r:id="rId11"/>
      <w:type w:val="continuous"/>
      <w:pgSz w:w="11906" w:h="16840" w:code="9"/>
      <w:pgMar w:top="510" w:right="1077" w:bottom="993" w:left="1077"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FC" w:rsidRDefault="00252DFC">
      <w:r>
        <w:separator/>
      </w:r>
    </w:p>
  </w:endnote>
  <w:endnote w:type="continuationSeparator" w:id="0">
    <w:p w:rsidR="00252DFC" w:rsidRDefault="0025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C" w:rsidRDefault="00252DFC" w:rsidP="00E72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DFC" w:rsidRDefault="00252DFC" w:rsidP="00292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FC" w:rsidRDefault="00252DFC">
      <w:r>
        <w:separator/>
      </w:r>
    </w:p>
  </w:footnote>
  <w:footnote w:type="continuationSeparator" w:id="0">
    <w:p w:rsidR="00252DFC" w:rsidRDefault="0025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C" w:rsidRDefault="00252D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2162"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Times New Roman&quot;;font-size:1pt" string="Und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C" w:rsidRDefault="00252D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2161"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Times New Roman&quot;;font-size:1pt" string="Und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26"/>
    <w:multiLevelType w:val="hybridMultilevel"/>
    <w:tmpl w:val="58F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D519D"/>
    <w:multiLevelType w:val="hybridMultilevel"/>
    <w:tmpl w:val="518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237CF"/>
    <w:multiLevelType w:val="hybridMultilevel"/>
    <w:tmpl w:val="3F9C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01"/>
    <w:rsid w:val="00010DA8"/>
    <w:rsid w:val="00032BDA"/>
    <w:rsid w:val="000436AE"/>
    <w:rsid w:val="000459A7"/>
    <w:rsid w:val="00047A4D"/>
    <w:rsid w:val="00054A93"/>
    <w:rsid w:val="000559DD"/>
    <w:rsid w:val="00057958"/>
    <w:rsid w:val="000614C4"/>
    <w:rsid w:val="00064211"/>
    <w:rsid w:val="000662A2"/>
    <w:rsid w:val="00070114"/>
    <w:rsid w:val="00072DF1"/>
    <w:rsid w:val="00077C73"/>
    <w:rsid w:val="00080864"/>
    <w:rsid w:val="00081AA3"/>
    <w:rsid w:val="00084720"/>
    <w:rsid w:val="000A5C5B"/>
    <w:rsid w:val="000A677D"/>
    <w:rsid w:val="000A6D50"/>
    <w:rsid w:val="000C3017"/>
    <w:rsid w:val="000C54D2"/>
    <w:rsid w:val="000D48B9"/>
    <w:rsid w:val="000D5838"/>
    <w:rsid w:val="000D5CB2"/>
    <w:rsid w:val="000D77F1"/>
    <w:rsid w:val="000E0621"/>
    <w:rsid w:val="000E1CE9"/>
    <w:rsid w:val="000E5D05"/>
    <w:rsid w:val="001042AA"/>
    <w:rsid w:val="00106028"/>
    <w:rsid w:val="00107723"/>
    <w:rsid w:val="0011557D"/>
    <w:rsid w:val="00115F84"/>
    <w:rsid w:val="00116101"/>
    <w:rsid w:val="001179D4"/>
    <w:rsid w:val="00127D42"/>
    <w:rsid w:val="00131F42"/>
    <w:rsid w:val="0013275A"/>
    <w:rsid w:val="00132FB0"/>
    <w:rsid w:val="00133AD3"/>
    <w:rsid w:val="00135E07"/>
    <w:rsid w:val="00153588"/>
    <w:rsid w:val="00154514"/>
    <w:rsid w:val="00157468"/>
    <w:rsid w:val="001575DC"/>
    <w:rsid w:val="0017178D"/>
    <w:rsid w:val="001720A3"/>
    <w:rsid w:val="001779A5"/>
    <w:rsid w:val="00180C73"/>
    <w:rsid w:val="001811F7"/>
    <w:rsid w:val="001824C9"/>
    <w:rsid w:val="00185752"/>
    <w:rsid w:val="00193A7E"/>
    <w:rsid w:val="00196186"/>
    <w:rsid w:val="001A2772"/>
    <w:rsid w:val="001B0BF2"/>
    <w:rsid w:val="001B3DBA"/>
    <w:rsid w:val="001C2137"/>
    <w:rsid w:val="001C5217"/>
    <w:rsid w:val="00205496"/>
    <w:rsid w:val="002063FD"/>
    <w:rsid w:val="00211ADD"/>
    <w:rsid w:val="00213CA5"/>
    <w:rsid w:val="00215925"/>
    <w:rsid w:val="00225160"/>
    <w:rsid w:val="002333F4"/>
    <w:rsid w:val="00233C0F"/>
    <w:rsid w:val="0023588F"/>
    <w:rsid w:val="002363A8"/>
    <w:rsid w:val="0023684C"/>
    <w:rsid w:val="00240CEA"/>
    <w:rsid w:val="00247291"/>
    <w:rsid w:val="00252DFC"/>
    <w:rsid w:val="00256B58"/>
    <w:rsid w:val="002617A4"/>
    <w:rsid w:val="002703B1"/>
    <w:rsid w:val="002731FD"/>
    <w:rsid w:val="002776EF"/>
    <w:rsid w:val="00285ACE"/>
    <w:rsid w:val="00287038"/>
    <w:rsid w:val="002928B0"/>
    <w:rsid w:val="00292A0A"/>
    <w:rsid w:val="0029397D"/>
    <w:rsid w:val="002A0EB6"/>
    <w:rsid w:val="002A1A36"/>
    <w:rsid w:val="002B4207"/>
    <w:rsid w:val="002B6A0D"/>
    <w:rsid w:val="002C02D6"/>
    <w:rsid w:val="002C2DB1"/>
    <w:rsid w:val="002D570B"/>
    <w:rsid w:val="002E2412"/>
    <w:rsid w:val="002E6A55"/>
    <w:rsid w:val="002F167B"/>
    <w:rsid w:val="002F28D9"/>
    <w:rsid w:val="0030440B"/>
    <w:rsid w:val="00313D3C"/>
    <w:rsid w:val="00314143"/>
    <w:rsid w:val="00320C42"/>
    <w:rsid w:val="00321061"/>
    <w:rsid w:val="0032220D"/>
    <w:rsid w:val="00336EFF"/>
    <w:rsid w:val="00341554"/>
    <w:rsid w:val="00341F1D"/>
    <w:rsid w:val="00344F1F"/>
    <w:rsid w:val="00353C34"/>
    <w:rsid w:val="003628A2"/>
    <w:rsid w:val="003648A7"/>
    <w:rsid w:val="00372634"/>
    <w:rsid w:val="00395960"/>
    <w:rsid w:val="003A3365"/>
    <w:rsid w:val="003C57D0"/>
    <w:rsid w:val="003C5ECE"/>
    <w:rsid w:val="003D5F3C"/>
    <w:rsid w:val="003D6B81"/>
    <w:rsid w:val="003F3C1E"/>
    <w:rsid w:val="003F4DF2"/>
    <w:rsid w:val="003F706B"/>
    <w:rsid w:val="004067F5"/>
    <w:rsid w:val="00410C9C"/>
    <w:rsid w:val="004110C8"/>
    <w:rsid w:val="00414971"/>
    <w:rsid w:val="00416E5A"/>
    <w:rsid w:val="00417BFB"/>
    <w:rsid w:val="00421155"/>
    <w:rsid w:val="00422870"/>
    <w:rsid w:val="00423B1F"/>
    <w:rsid w:val="00424008"/>
    <w:rsid w:val="00434967"/>
    <w:rsid w:val="004366CB"/>
    <w:rsid w:val="0044008B"/>
    <w:rsid w:val="0044307A"/>
    <w:rsid w:val="0045539D"/>
    <w:rsid w:val="004559A7"/>
    <w:rsid w:val="00460185"/>
    <w:rsid w:val="00460FFD"/>
    <w:rsid w:val="00464D19"/>
    <w:rsid w:val="004706A0"/>
    <w:rsid w:val="00474AC4"/>
    <w:rsid w:val="004754F3"/>
    <w:rsid w:val="00481AE4"/>
    <w:rsid w:val="0048259B"/>
    <w:rsid w:val="004944F1"/>
    <w:rsid w:val="004B06CF"/>
    <w:rsid w:val="004B5F3D"/>
    <w:rsid w:val="004E01CB"/>
    <w:rsid w:val="004E44D0"/>
    <w:rsid w:val="004F03E7"/>
    <w:rsid w:val="004F4C2B"/>
    <w:rsid w:val="004F6F25"/>
    <w:rsid w:val="005048DE"/>
    <w:rsid w:val="00506EFC"/>
    <w:rsid w:val="005512ED"/>
    <w:rsid w:val="00551E0B"/>
    <w:rsid w:val="005614FB"/>
    <w:rsid w:val="00570BAC"/>
    <w:rsid w:val="0057111D"/>
    <w:rsid w:val="00571CE5"/>
    <w:rsid w:val="005866F2"/>
    <w:rsid w:val="005877C2"/>
    <w:rsid w:val="005A1F26"/>
    <w:rsid w:val="005A22AE"/>
    <w:rsid w:val="005B2271"/>
    <w:rsid w:val="005C2689"/>
    <w:rsid w:val="005D0C97"/>
    <w:rsid w:val="005D6233"/>
    <w:rsid w:val="005D77FF"/>
    <w:rsid w:val="005E4E72"/>
    <w:rsid w:val="005F03E5"/>
    <w:rsid w:val="005F0F4F"/>
    <w:rsid w:val="0060007F"/>
    <w:rsid w:val="00600A29"/>
    <w:rsid w:val="00623B00"/>
    <w:rsid w:val="00624270"/>
    <w:rsid w:val="00624FD7"/>
    <w:rsid w:val="0062745A"/>
    <w:rsid w:val="00634016"/>
    <w:rsid w:val="00640668"/>
    <w:rsid w:val="0065111A"/>
    <w:rsid w:val="00652DF0"/>
    <w:rsid w:val="00656934"/>
    <w:rsid w:val="00662018"/>
    <w:rsid w:val="0067001A"/>
    <w:rsid w:val="00675763"/>
    <w:rsid w:val="006770ED"/>
    <w:rsid w:val="006819B0"/>
    <w:rsid w:val="006A2326"/>
    <w:rsid w:val="006A3288"/>
    <w:rsid w:val="006A694D"/>
    <w:rsid w:val="006A6A0E"/>
    <w:rsid w:val="006B28D2"/>
    <w:rsid w:val="006C187C"/>
    <w:rsid w:val="006C3F53"/>
    <w:rsid w:val="006D51A5"/>
    <w:rsid w:val="006F292B"/>
    <w:rsid w:val="006F7F4E"/>
    <w:rsid w:val="0070150D"/>
    <w:rsid w:val="00701FFC"/>
    <w:rsid w:val="00714E08"/>
    <w:rsid w:val="00715082"/>
    <w:rsid w:val="00715868"/>
    <w:rsid w:val="007170D8"/>
    <w:rsid w:val="007170F6"/>
    <w:rsid w:val="007215F7"/>
    <w:rsid w:val="00723FF0"/>
    <w:rsid w:val="007252E1"/>
    <w:rsid w:val="00727111"/>
    <w:rsid w:val="007361A1"/>
    <w:rsid w:val="0073641C"/>
    <w:rsid w:val="00736668"/>
    <w:rsid w:val="007402A1"/>
    <w:rsid w:val="00746511"/>
    <w:rsid w:val="007471AD"/>
    <w:rsid w:val="00747828"/>
    <w:rsid w:val="00756F12"/>
    <w:rsid w:val="00757FF0"/>
    <w:rsid w:val="00780159"/>
    <w:rsid w:val="00780815"/>
    <w:rsid w:val="007930FD"/>
    <w:rsid w:val="0079652D"/>
    <w:rsid w:val="007978D4"/>
    <w:rsid w:val="007A3310"/>
    <w:rsid w:val="007A3426"/>
    <w:rsid w:val="007B6680"/>
    <w:rsid w:val="007B6E21"/>
    <w:rsid w:val="007C46D5"/>
    <w:rsid w:val="007D4D34"/>
    <w:rsid w:val="007E293B"/>
    <w:rsid w:val="007F77CC"/>
    <w:rsid w:val="0080350D"/>
    <w:rsid w:val="00812C4E"/>
    <w:rsid w:val="008200B1"/>
    <w:rsid w:val="008227A8"/>
    <w:rsid w:val="00831EF3"/>
    <w:rsid w:val="00837843"/>
    <w:rsid w:val="00842A96"/>
    <w:rsid w:val="00843ABB"/>
    <w:rsid w:val="00846E88"/>
    <w:rsid w:val="008570C0"/>
    <w:rsid w:val="008575B1"/>
    <w:rsid w:val="00861765"/>
    <w:rsid w:val="00866EF7"/>
    <w:rsid w:val="008752FA"/>
    <w:rsid w:val="008809FD"/>
    <w:rsid w:val="00894610"/>
    <w:rsid w:val="00894A02"/>
    <w:rsid w:val="008A2177"/>
    <w:rsid w:val="008A5A51"/>
    <w:rsid w:val="008B3498"/>
    <w:rsid w:val="008B5675"/>
    <w:rsid w:val="008C759F"/>
    <w:rsid w:val="008E3198"/>
    <w:rsid w:val="008E4494"/>
    <w:rsid w:val="008F2FAA"/>
    <w:rsid w:val="009047A5"/>
    <w:rsid w:val="00915D71"/>
    <w:rsid w:val="00921253"/>
    <w:rsid w:val="00924E03"/>
    <w:rsid w:val="00925B2B"/>
    <w:rsid w:val="00941B41"/>
    <w:rsid w:val="009444CC"/>
    <w:rsid w:val="009470D1"/>
    <w:rsid w:val="00960B58"/>
    <w:rsid w:val="00963CB1"/>
    <w:rsid w:val="00971550"/>
    <w:rsid w:val="00977CE0"/>
    <w:rsid w:val="00992F90"/>
    <w:rsid w:val="0099643D"/>
    <w:rsid w:val="009B2C33"/>
    <w:rsid w:val="009B3C50"/>
    <w:rsid w:val="009B3E9C"/>
    <w:rsid w:val="009B612A"/>
    <w:rsid w:val="009C4FF7"/>
    <w:rsid w:val="009E059D"/>
    <w:rsid w:val="009E08DC"/>
    <w:rsid w:val="009F3390"/>
    <w:rsid w:val="009F3BFB"/>
    <w:rsid w:val="00A06C0B"/>
    <w:rsid w:val="00A13324"/>
    <w:rsid w:val="00A25A98"/>
    <w:rsid w:val="00A30235"/>
    <w:rsid w:val="00A41ED3"/>
    <w:rsid w:val="00A435EF"/>
    <w:rsid w:val="00A51DC0"/>
    <w:rsid w:val="00A56959"/>
    <w:rsid w:val="00A577A4"/>
    <w:rsid w:val="00A675F8"/>
    <w:rsid w:val="00A74DB3"/>
    <w:rsid w:val="00A8778A"/>
    <w:rsid w:val="00A90292"/>
    <w:rsid w:val="00AA6FF1"/>
    <w:rsid w:val="00AB01C0"/>
    <w:rsid w:val="00AC328E"/>
    <w:rsid w:val="00AC5CC2"/>
    <w:rsid w:val="00AC6976"/>
    <w:rsid w:val="00AD27A6"/>
    <w:rsid w:val="00AD6DAE"/>
    <w:rsid w:val="00AE1BF7"/>
    <w:rsid w:val="00AE2513"/>
    <w:rsid w:val="00AE6F0A"/>
    <w:rsid w:val="00AE7DD8"/>
    <w:rsid w:val="00AF1795"/>
    <w:rsid w:val="00AF1995"/>
    <w:rsid w:val="00AF438F"/>
    <w:rsid w:val="00AF502F"/>
    <w:rsid w:val="00B019A1"/>
    <w:rsid w:val="00B1650B"/>
    <w:rsid w:val="00B22ED6"/>
    <w:rsid w:val="00B248E0"/>
    <w:rsid w:val="00B40808"/>
    <w:rsid w:val="00B43261"/>
    <w:rsid w:val="00B57280"/>
    <w:rsid w:val="00B57F83"/>
    <w:rsid w:val="00B7077B"/>
    <w:rsid w:val="00B815C1"/>
    <w:rsid w:val="00B81FA2"/>
    <w:rsid w:val="00B829D1"/>
    <w:rsid w:val="00BB28CD"/>
    <w:rsid w:val="00BB44F8"/>
    <w:rsid w:val="00BB60C6"/>
    <w:rsid w:val="00BC2634"/>
    <w:rsid w:val="00BC5415"/>
    <w:rsid w:val="00BE00D6"/>
    <w:rsid w:val="00BE5347"/>
    <w:rsid w:val="00BE77D3"/>
    <w:rsid w:val="00BF009F"/>
    <w:rsid w:val="00BF6AFE"/>
    <w:rsid w:val="00BF6C20"/>
    <w:rsid w:val="00BF6C6A"/>
    <w:rsid w:val="00C06A4C"/>
    <w:rsid w:val="00C142A5"/>
    <w:rsid w:val="00C2451B"/>
    <w:rsid w:val="00C33499"/>
    <w:rsid w:val="00C4251C"/>
    <w:rsid w:val="00C539C3"/>
    <w:rsid w:val="00C54CFE"/>
    <w:rsid w:val="00C765F8"/>
    <w:rsid w:val="00C832CE"/>
    <w:rsid w:val="00C90CFF"/>
    <w:rsid w:val="00C927DB"/>
    <w:rsid w:val="00CA163F"/>
    <w:rsid w:val="00CA7B37"/>
    <w:rsid w:val="00CC42FE"/>
    <w:rsid w:val="00CC58FB"/>
    <w:rsid w:val="00CC6B8F"/>
    <w:rsid w:val="00CD01FB"/>
    <w:rsid w:val="00CD0E22"/>
    <w:rsid w:val="00CD2DBD"/>
    <w:rsid w:val="00CE1501"/>
    <w:rsid w:val="00CE31E2"/>
    <w:rsid w:val="00CF12B5"/>
    <w:rsid w:val="00CF5DAD"/>
    <w:rsid w:val="00D0427D"/>
    <w:rsid w:val="00D12A1D"/>
    <w:rsid w:val="00D135E1"/>
    <w:rsid w:val="00D13A74"/>
    <w:rsid w:val="00D15C8F"/>
    <w:rsid w:val="00D24AE3"/>
    <w:rsid w:val="00D27EE2"/>
    <w:rsid w:val="00D4418C"/>
    <w:rsid w:val="00D4584F"/>
    <w:rsid w:val="00D5522A"/>
    <w:rsid w:val="00D6155B"/>
    <w:rsid w:val="00D649C2"/>
    <w:rsid w:val="00D77BAD"/>
    <w:rsid w:val="00D80AB2"/>
    <w:rsid w:val="00D850C8"/>
    <w:rsid w:val="00D90C20"/>
    <w:rsid w:val="00DA006C"/>
    <w:rsid w:val="00DA5E7A"/>
    <w:rsid w:val="00DB7449"/>
    <w:rsid w:val="00DB7D30"/>
    <w:rsid w:val="00DB7F83"/>
    <w:rsid w:val="00DC5038"/>
    <w:rsid w:val="00DE791B"/>
    <w:rsid w:val="00DF19C6"/>
    <w:rsid w:val="00E0206D"/>
    <w:rsid w:val="00E06A47"/>
    <w:rsid w:val="00E07405"/>
    <w:rsid w:val="00E15F8D"/>
    <w:rsid w:val="00E246B1"/>
    <w:rsid w:val="00E40404"/>
    <w:rsid w:val="00E45C26"/>
    <w:rsid w:val="00E46F61"/>
    <w:rsid w:val="00E50E62"/>
    <w:rsid w:val="00E54742"/>
    <w:rsid w:val="00E55494"/>
    <w:rsid w:val="00E61B99"/>
    <w:rsid w:val="00E7242E"/>
    <w:rsid w:val="00E85EB8"/>
    <w:rsid w:val="00EA14C5"/>
    <w:rsid w:val="00EB0E49"/>
    <w:rsid w:val="00EB21E2"/>
    <w:rsid w:val="00EB4849"/>
    <w:rsid w:val="00EB4A61"/>
    <w:rsid w:val="00EC06E1"/>
    <w:rsid w:val="00EC2D13"/>
    <w:rsid w:val="00EC5B04"/>
    <w:rsid w:val="00ED7C51"/>
    <w:rsid w:val="00EE348C"/>
    <w:rsid w:val="00EE3B1C"/>
    <w:rsid w:val="00EF5168"/>
    <w:rsid w:val="00F02617"/>
    <w:rsid w:val="00F03AD4"/>
    <w:rsid w:val="00F10278"/>
    <w:rsid w:val="00F23B28"/>
    <w:rsid w:val="00F41397"/>
    <w:rsid w:val="00F47947"/>
    <w:rsid w:val="00F548C4"/>
    <w:rsid w:val="00F55FF8"/>
    <w:rsid w:val="00F57372"/>
    <w:rsid w:val="00F57559"/>
    <w:rsid w:val="00F575DD"/>
    <w:rsid w:val="00F60BA5"/>
    <w:rsid w:val="00F903CE"/>
    <w:rsid w:val="00F915FB"/>
    <w:rsid w:val="00F92DFF"/>
    <w:rsid w:val="00FB24A3"/>
    <w:rsid w:val="00FC31FC"/>
    <w:rsid w:val="00FC6D99"/>
    <w:rsid w:val="00FC70A1"/>
    <w:rsid w:val="00FD19BA"/>
    <w:rsid w:val="00FD5587"/>
    <w:rsid w:val="00FE6D45"/>
    <w:rsid w:val="00FF0D37"/>
    <w:rsid w:val="00FF2296"/>
    <w:rsid w:val="00FF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3253C3"/>
  <w15:docId w15:val="{40FC8A0B-65F9-4C01-8441-D14ED5FC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1650B"/>
    <w:pPr>
      <w:keepNext/>
      <w:jc w:val="center"/>
      <w:outlineLvl w:val="0"/>
    </w:pPr>
    <w:rPr>
      <w:rFonts w:ascii="Arial" w:hAnsi="Arial" w:cs="Arial"/>
      <w:b/>
      <w:bCs/>
      <w:lang w:eastAsia="en-US"/>
    </w:rPr>
  </w:style>
  <w:style w:type="paragraph" w:styleId="Heading2">
    <w:name w:val="heading 2"/>
    <w:basedOn w:val="Normal"/>
    <w:next w:val="Normal"/>
    <w:link w:val="Heading2Char"/>
    <w:qFormat/>
    <w:rsid w:val="00B1650B"/>
    <w:pPr>
      <w:keepNext/>
      <w:jc w:val="both"/>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6934"/>
    <w:rPr>
      <w:color w:val="0000FF"/>
      <w:u w:val="single"/>
    </w:rPr>
  </w:style>
  <w:style w:type="character" w:styleId="FollowedHyperlink">
    <w:name w:val="FollowedHyperlink"/>
    <w:rsid w:val="00656934"/>
    <w:rPr>
      <w:color w:val="800080"/>
      <w:u w:val="single"/>
    </w:rPr>
  </w:style>
  <w:style w:type="paragraph" w:styleId="Header">
    <w:name w:val="header"/>
    <w:basedOn w:val="Normal"/>
    <w:rsid w:val="009B3E9C"/>
    <w:pPr>
      <w:tabs>
        <w:tab w:val="center" w:pos="4153"/>
        <w:tab w:val="right" w:pos="8306"/>
      </w:tabs>
    </w:pPr>
  </w:style>
  <w:style w:type="paragraph" w:styleId="Footer">
    <w:name w:val="footer"/>
    <w:basedOn w:val="Normal"/>
    <w:rsid w:val="009B3E9C"/>
    <w:pPr>
      <w:tabs>
        <w:tab w:val="center" w:pos="4153"/>
        <w:tab w:val="right" w:pos="8306"/>
      </w:tabs>
    </w:pPr>
  </w:style>
  <w:style w:type="paragraph" w:styleId="BalloonText">
    <w:name w:val="Balloon Text"/>
    <w:basedOn w:val="Normal"/>
    <w:semiHidden/>
    <w:rsid w:val="009B3E9C"/>
    <w:rPr>
      <w:rFonts w:ascii="Tahoma" w:hAnsi="Tahoma"/>
      <w:sz w:val="16"/>
      <w:szCs w:val="16"/>
    </w:rPr>
  </w:style>
  <w:style w:type="character" w:styleId="PageNumber">
    <w:name w:val="page number"/>
    <w:basedOn w:val="DefaultParagraphFont"/>
    <w:rsid w:val="00292A0A"/>
  </w:style>
  <w:style w:type="paragraph" w:styleId="BodyText">
    <w:name w:val="Body Text"/>
    <w:basedOn w:val="Normal"/>
    <w:link w:val="BodyTextChar"/>
    <w:rsid w:val="00D0427D"/>
    <w:pPr>
      <w:jc w:val="center"/>
    </w:pPr>
    <w:rPr>
      <w:rFonts w:ascii="Arial" w:hAnsi="Arial"/>
      <w:b/>
      <w:bCs/>
      <w:lang w:eastAsia="en-US"/>
    </w:rPr>
  </w:style>
  <w:style w:type="paragraph" w:styleId="NormalWeb">
    <w:name w:val="Normal (Web)"/>
    <w:basedOn w:val="Normal"/>
    <w:uiPriority w:val="99"/>
    <w:rsid w:val="00D0427D"/>
    <w:pPr>
      <w:spacing w:before="100" w:beforeAutospacing="1" w:after="100" w:afterAutospacing="1"/>
    </w:pPr>
    <w:rPr>
      <w:rFonts w:ascii="Arial Unicode MS" w:eastAsia="Arial Unicode MS" w:hAnsi="Arial Unicode MS" w:cs="Arial Unicode MS"/>
      <w:color w:val="000000"/>
      <w:lang w:eastAsia="en-US"/>
    </w:rPr>
  </w:style>
  <w:style w:type="character" w:customStyle="1" w:styleId="Heading1Char">
    <w:name w:val="Heading 1 Char"/>
    <w:link w:val="Heading1"/>
    <w:rsid w:val="00D77BAD"/>
    <w:rPr>
      <w:rFonts w:ascii="Arial" w:hAnsi="Arial" w:cs="Arial"/>
      <w:b/>
      <w:bCs/>
      <w:sz w:val="24"/>
      <w:szCs w:val="24"/>
      <w:lang w:eastAsia="en-US"/>
    </w:rPr>
  </w:style>
  <w:style w:type="character" w:customStyle="1" w:styleId="Heading2Char">
    <w:name w:val="Heading 2 Char"/>
    <w:link w:val="Heading2"/>
    <w:rsid w:val="00D77BAD"/>
    <w:rPr>
      <w:rFonts w:ascii="Arial" w:hAnsi="Arial" w:cs="Arial"/>
      <w:b/>
      <w:bCs/>
      <w:sz w:val="24"/>
      <w:szCs w:val="24"/>
      <w:lang w:eastAsia="en-US"/>
    </w:rPr>
  </w:style>
  <w:style w:type="character" w:customStyle="1" w:styleId="BodyTextChar">
    <w:name w:val="Body Text Char"/>
    <w:link w:val="BodyText"/>
    <w:rsid w:val="00D77BAD"/>
    <w:rPr>
      <w:rFonts w:ascii="Arial" w:hAnsi="Arial"/>
      <w:b/>
      <w:bCs/>
      <w:sz w:val="24"/>
      <w:szCs w:val="24"/>
      <w:lang w:eastAsia="en-US"/>
    </w:rPr>
  </w:style>
  <w:style w:type="table" w:styleId="TableGrid">
    <w:name w:val="Table Grid"/>
    <w:basedOn w:val="TableNormal"/>
    <w:rsid w:val="0046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50">
      <w:bodyDiv w:val="1"/>
      <w:marLeft w:val="0"/>
      <w:marRight w:val="0"/>
      <w:marTop w:val="0"/>
      <w:marBottom w:val="0"/>
      <w:divBdr>
        <w:top w:val="none" w:sz="0" w:space="0" w:color="auto"/>
        <w:left w:val="none" w:sz="0" w:space="0" w:color="auto"/>
        <w:bottom w:val="none" w:sz="0" w:space="0" w:color="auto"/>
        <w:right w:val="none" w:sz="0" w:space="0" w:color="auto"/>
      </w:divBdr>
    </w:div>
    <w:div w:id="832062835">
      <w:bodyDiv w:val="1"/>
      <w:marLeft w:val="0"/>
      <w:marRight w:val="0"/>
      <w:marTop w:val="0"/>
      <w:marBottom w:val="0"/>
      <w:divBdr>
        <w:top w:val="none" w:sz="0" w:space="0" w:color="auto"/>
        <w:left w:val="none" w:sz="0" w:space="0" w:color="auto"/>
        <w:bottom w:val="none" w:sz="0" w:space="0" w:color="auto"/>
        <w:right w:val="none" w:sz="0" w:space="0" w:color="auto"/>
      </w:divBdr>
    </w:div>
    <w:div w:id="913703484">
      <w:bodyDiv w:val="1"/>
      <w:marLeft w:val="0"/>
      <w:marRight w:val="0"/>
      <w:marTop w:val="0"/>
      <w:marBottom w:val="0"/>
      <w:divBdr>
        <w:top w:val="none" w:sz="0" w:space="0" w:color="auto"/>
        <w:left w:val="none" w:sz="0" w:space="0" w:color="auto"/>
        <w:bottom w:val="none" w:sz="0" w:space="0" w:color="auto"/>
        <w:right w:val="none" w:sz="0" w:space="0" w:color="auto"/>
      </w:divBdr>
    </w:div>
    <w:div w:id="1200633051">
      <w:bodyDiv w:val="1"/>
      <w:marLeft w:val="0"/>
      <w:marRight w:val="0"/>
      <w:marTop w:val="0"/>
      <w:marBottom w:val="0"/>
      <w:divBdr>
        <w:top w:val="none" w:sz="0" w:space="0" w:color="auto"/>
        <w:left w:val="none" w:sz="0" w:space="0" w:color="auto"/>
        <w:bottom w:val="none" w:sz="0" w:space="0" w:color="auto"/>
        <w:right w:val="none" w:sz="0" w:space="0" w:color="auto"/>
      </w:divBdr>
    </w:div>
    <w:div w:id="17664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725D-1985-4419-9447-4740B3A7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SUMMARY OF PROVIDER BOARD FOR TEAM BRIEF</vt:lpstr>
    </vt:vector>
  </TitlesOfParts>
  <Company>hpct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PROVIDER BOARD FOR TEAM BRIEF</dc:title>
  <dc:creator>jayne.haynes</dc:creator>
  <cp:lastModifiedBy>Anne Bonney</cp:lastModifiedBy>
  <cp:revision>5</cp:revision>
  <cp:lastPrinted>2017-07-17T10:53:00Z</cp:lastPrinted>
  <dcterms:created xsi:type="dcterms:W3CDTF">2021-09-02T14:52:00Z</dcterms:created>
  <dcterms:modified xsi:type="dcterms:W3CDTF">2023-09-15T10:33:00Z</dcterms:modified>
</cp:coreProperties>
</file>